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jc w:val="center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宝陈农发〔202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41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napToGrid w:val="0"/>
        <w:spacing w:line="440" w:lineRule="exact"/>
        <w:ind w:firstLine="2400" w:firstLineChars="500"/>
        <w:jc w:val="center"/>
        <w:rPr>
          <w:rFonts w:ascii="黑体" w:hAnsi="黑体" w:eastAsia="黑体"/>
          <w:spacing w:val="60"/>
          <w:sz w:val="36"/>
          <w:szCs w:val="36"/>
        </w:rPr>
      </w:pPr>
    </w:p>
    <w:p>
      <w:pPr>
        <w:snapToGrid w:val="0"/>
        <w:spacing w:line="500" w:lineRule="exact"/>
        <w:ind w:firstLine="0" w:firstLineChars="0"/>
        <w:rPr>
          <w:rFonts w:ascii="黑体" w:hAnsi="黑体" w:eastAsia="黑体" w:cs="黑体"/>
          <w:spacing w:val="60"/>
          <w:sz w:val="36"/>
          <w:szCs w:val="36"/>
        </w:rPr>
      </w:pPr>
    </w:p>
    <w:p>
      <w:pPr>
        <w:snapToGrid w:val="0"/>
        <w:spacing w:line="500" w:lineRule="exact"/>
        <w:ind w:firstLine="0" w:firstLineChars="0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宝鸡市陈仓区农业农村局</w:t>
      </w:r>
    </w:p>
    <w:p>
      <w:pPr>
        <w:snapToGrid w:val="0"/>
        <w:spacing w:line="500" w:lineRule="exact"/>
        <w:ind w:firstLine="0" w:firstLineChars="0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关于202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 w:cs="黑体"/>
          <w:sz w:val="36"/>
          <w:szCs w:val="36"/>
        </w:rPr>
        <w:t>年中省衔接资金慕仪镇</w:t>
      </w:r>
    </w:p>
    <w:p>
      <w:pPr>
        <w:snapToGrid w:val="0"/>
        <w:spacing w:line="500" w:lineRule="exact"/>
        <w:ind w:firstLine="0" w:firstLineChars="0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洞坡村农机综合服务项目实施方案的批复</w:t>
      </w:r>
    </w:p>
    <w:p>
      <w:pPr>
        <w:snapToGrid w:val="0"/>
        <w:spacing w:line="500" w:lineRule="exact"/>
        <w:ind w:firstLine="0" w:firstLineChars="0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ind w:left="0" w:leftChars="0" w:firstLine="0" w:firstLineChars="0"/>
        <w:rPr>
          <w:rFonts w:hint="eastAsia" w:ascii="仿宋_GB2312" w:hAnsi="Calibri" w:eastAsia="仿宋_GB2312"/>
          <w:color w:val="000000"/>
          <w:sz w:val="32"/>
          <w:szCs w:val="32"/>
        </w:rPr>
      </w:pPr>
      <w:r>
        <w:rPr>
          <w:rFonts w:hint="eastAsia" w:ascii="仿宋_GB2312" w:hAnsi="Calibri" w:eastAsia="仿宋_GB2312"/>
          <w:color w:val="000000"/>
          <w:sz w:val="32"/>
          <w:szCs w:val="32"/>
        </w:rPr>
        <w:t>慕仪镇人民政府：</w:t>
      </w:r>
    </w:p>
    <w:p>
      <w:pPr>
        <w:spacing w:line="500" w:lineRule="exact"/>
        <w:ind w:firstLine="640" w:firstLineChars="200"/>
        <w:rPr>
          <w:rFonts w:hint="eastAsia" w:ascii="仿宋_GB2312" w:hAnsi="Calibri" w:eastAsia="仿宋_GB2312"/>
          <w:color w:val="000000"/>
          <w:sz w:val="32"/>
          <w:szCs w:val="32"/>
        </w:rPr>
      </w:pPr>
      <w:r>
        <w:rPr>
          <w:rFonts w:hint="eastAsia" w:ascii="仿宋_GB2312" w:hAnsi="Calibri" w:eastAsia="仿宋_GB2312"/>
          <w:color w:val="000000"/>
          <w:sz w:val="32"/>
          <w:szCs w:val="32"/>
        </w:rPr>
        <w:t>你镇上报的《202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年中省财政衔接资金项目实施方案的报告》(宝陈慕政发〔202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〕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>49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号）收悉。经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6日宝鸡市陈仓区202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年中省财政衔接资金项目评审会公开质询评审，该项目符合项目管理规定，同意你镇</w:t>
      </w:r>
      <w:r>
        <w:rPr>
          <w:rFonts w:hint="eastAsia" w:ascii="仿宋_GB2312" w:hAnsi="Calibri" w:eastAsia="仿宋_GB2312"/>
          <w:color w:val="000000"/>
          <w:sz w:val="32"/>
          <w:szCs w:val="32"/>
          <w:lang w:eastAsia="zh-CN"/>
        </w:rPr>
        <w:t>实施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洞坡村农机综合服务项目，现批复如下：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项目建设内容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及投资估算</w:t>
      </w:r>
    </w:p>
    <w:p>
      <w:pPr>
        <w:spacing w:line="500" w:lineRule="exact"/>
        <w:ind w:firstLine="643" w:firstLineChars="200"/>
        <w:rPr>
          <w:rFonts w:hint="eastAsia"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b/>
          <w:color w:val="000000"/>
          <w:sz w:val="32"/>
          <w:szCs w:val="32"/>
        </w:rPr>
        <w:t>1、建设地点及</w:t>
      </w:r>
      <w:r>
        <w:rPr>
          <w:rFonts w:hint="eastAsia" w:ascii="仿宋_GB2312" w:hAnsi="Calibri" w:eastAsia="仿宋_GB2312"/>
          <w:b/>
          <w:color w:val="000000"/>
          <w:sz w:val="32"/>
          <w:szCs w:val="32"/>
          <w:lang w:eastAsia="zh-CN"/>
        </w:rPr>
        <w:t>内容</w:t>
      </w:r>
      <w:r>
        <w:rPr>
          <w:rFonts w:hint="eastAsia" w:ascii="仿宋_GB2312" w:hAnsi="Calibri" w:eastAsia="仿宋_GB2312"/>
          <w:b/>
          <w:color w:val="000000"/>
          <w:sz w:val="32"/>
          <w:szCs w:val="32"/>
        </w:rPr>
        <w:t>：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项目地点慕仪</w:t>
      </w:r>
      <w:r>
        <w:rPr>
          <w:rFonts w:hint="eastAsia" w:ascii="仿宋_GB2312" w:hAnsi="Calibri" w:eastAsia="仿宋_GB2312"/>
          <w:color w:val="000000"/>
          <w:sz w:val="32"/>
          <w:szCs w:val="32"/>
          <w:lang w:eastAsia="zh-CN"/>
        </w:rPr>
        <w:t>洞坡村，计划购买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>拖拉机一台，</w:t>
      </w:r>
      <w:r>
        <w:rPr>
          <w:rFonts w:hint="eastAsia" w:ascii="仿宋_GB2312" w:hAnsi="Calibri" w:eastAsia="仿宋_GB2312"/>
          <w:color w:val="000000"/>
          <w:sz w:val="32"/>
          <w:szCs w:val="32"/>
          <w:lang w:eastAsia="zh-CN"/>
        </w:rPr>
        <w:t>大方捆打捆机一台，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>12盘</w:t>
      </w:r>
      <w:r>
        <w:rPr>
          <w:rFonts w:hint="eastAsia" w:ascii="仿宋_GB2312" w:hAnsi="Calibri" w:eastAsia="仿宋_GB2312"/>
          <w:color w:val="000000"/>
          <w:sz w:val="32"/>
          <w:szCs w:val="32"/>
          <w:lang w:eastAsia="zh-CN"/>
        </w:rPr>
        <w:t>搂草机一台，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>20型</w:t>
      </w:r>
      <w:r>
        <w:rPr>
          <w:rFonts w:hint="eastAsia" w:ascii="仿宋_GB2312" w:hAnsi="Calibri" w:eastAsia="仿宋_GB2312"/>
          <w:color w:val="000000"/>
          <w:sz w:val="32"/>
          <w:szCs w:val="32"/>
          <w:lang w:eastAsia="zh-CN"/>
        </w:rPr>
        <w:t>抓草机一台。</w:t>
      </w:r>
    </w:p>
    <w:p>
      <w:pPr>
        <w:widowControl/>
        <w:shd w:val="clear" w:color="auto" w:fill="FFFFFF"/>
        <w:spacing w:line="500" w:lineRule="exact"/>
        <w:ind w:firstLine="643" w:firstLineChars="200"/>
        <w:rPr>
          <w:rFonts w:hint="eastAsia"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b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/>
          <w:b/>
          <w:color w:val="000000"/>
          <w:sz w:val="32"/>
          <w:szCs w:val="32"/>
        </w:rPr>
        <w:t>、投资估算：</w:t>
      </w:r>
      <w:r>
        <w:rPr>
          <w:rFonts w:hint="eastAsia" w:ascii="仿宋_GB2312" w:hAnsi="Calibri" w:eastAsia="仿宋_GB2312"/>
          <w:sz w:val="32"/>
          <w:szCs w:val="32"/>
        </w:rPr>
        <w:t>项目总投资约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248</w:t>
      </w:r>
      <w:r>
        <w:rPr>
          <w:rFonts w:hint="eastAsia" w:ascii="仿宋_GB2312" w:hAnsi="Calibri" w:eastAsia="仿宋_GB2312"/>
          <w:sz w:val="32"/>
          <w:szCs w:val="32"/>
        </w:rPr>
        <w:t>万元，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其中：</w:t>
      </w:r>
      <w:r>
        <w:rPr>
          <w:rFonts w:hint="eastAsia" w:ascii="仿宋_GB2312" w:hAnsi="Calibri" w:eastAsia="仿宋_GB2312"/>
          <w:sz w:val="32"/>
          <w:szCs w:val="32"/>
        </w:rPr>
        <w:t>中央财政衔接资金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200</w:t>
      </w:r>
      <w:r>
        <w:rPr>
          <w:rFonts w:hint="eastAsia" w:ascii="仿宋_GB2312" w:hAnsi="Calibri" w:eastAsia="仿宋_GB2312"/>
          <w:sz w:val="32"/>
          <w:szCs w:val="32"/>
        </w:rPr>
        <w:t>万元，自筹资金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48</w:t>
      </w:r>
      <w:r>
        <w:rPr>
          <w:rFonts w:hint="eastAsia" w:ascii="仿宋_GB2312" w:hAnsi="Calibri" w:eastAsia="仿宋_GB2312"/>
          <w:sz w:val="32"/>
          <w:szCs w:val="32"/>
        </w:rPr>
        <w:t>万元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（其中洞坡村集体经济合作社出资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24万元，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齐西二村</w:t>
      </w:r>
      <w:r>
        <w:rPr>
          <w:rFonts w:hint="eastAsia" w:ascii="仿宋_GB2312" w:eastAsia="仿宋_GB2312"/>
          <w:bCs/>
          <w:sz w:val="32"/>
          <w:szCs w:val="32"/>
        </w:rPr>
        <w:t>股份经济合作社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出资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24万元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/>
          <w:sz w:val="32"/>
          <w:szCs w:val="32"/>
        </w:rPr>
        <w:t>。设备购置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需求如下表</w:t>
      </w:r>
      <w:r>
        <w:rPr>
          <w:rFonts w:hint="eastAsia" w:ascii="仿宋_GB2312" w:hAnsi="Calibri" w:eastAsia="仿宋_GB2312"/>
          <w:sz w:val="32"/>
          <w:szCs w:val="32"/>
        </w:rPr>
        <w:t>：</w:t>
      </w:r>
    </w:p>
    <w:tbl>
      <w:tblPr>
        <w:tblStyle w:val="6"/>
        <w:tblpPr w:leftFromText="180" w:rightFromText="180" w:vertAnchor="text" w:horzAnchor="page" w:tblpXSpec="center" w:tblpY="27"/>
        <w:tblOverlap w:val="never"/>
        <w:tblW w:w="88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3115"/>
        <w:gridCol w:w="1438"/>
        <w:gridCol w:w="967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名称</w:t>
            </w:r>
          </w:p>
        </w:tc>
        <w:tc>
          <w:tcPr>
            <w:tcW w:w="3115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lang w:eastAsia="zh-CN"/>
              </w:rPr>
              <w:t>参数要求</w:t>
            </w:r>
          </w:p>
        </w:tc>
        <w:tc>
          <w:tcPr>
            <w:tcW w:w="1438" w:type="dxa"/>
            <w:vAlign w:val="center"/>
          </w:tcPr>
          <w:p>
            <w:pPr>
              <w:widowControl/>
              <w:spacing w:line="500" w:lineRule="exact"/>
              <w:ind w:left="0" w:leftChars="0" w:firstLine="0" w:firstLineChars="0"/>
              <w:jc w:val="left"/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lang w:eastAsia="zh-CN"/>
              </w:rPr>
              <w:t>单价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（元）</w:t>
            </w:r>
          </w:p>
        </w:tc>
        <w:tc>
          <w:tcPr>
            <w:tcW w:w="967" w:type="dxa"/>
            <w:vAlign w:val="center"/>
          </w:tcPr>
          <w:p>
            <w:pPr>
              <w:widowControl/>
              <w:spacing w:line="500" w:lineRule="exact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数量</w:t>
            </w:r>
          </w:p>
        </w:tc>
        <w:tc>
          <w:tcPr>
            <w:tcW w:w="1656" w:type="dxa"/>
            <w:vAlign w:val="center"/>
          </w:tcPr>
          <w:p>
            <w:pPr>
              <w:widowControl/>
              <w:spacing w:line="500" w:lineRule="exact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合计</w:t>
            </w:r>
            <w:r>
              <w:rPr>
                <w:rFonts w:hint="eastAsia" w:ascii="仿宋_GB2312" w:hAnsi="Calibri" w:eastAsia="仿宋_GB2312"/>
                <w:sz w:val="28"/>
                <w:szCs w:val="28"/>
                <w:lang w:eastAsia="zh-CN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仿宋_GB2312" w:hAnsi="Calibri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z w:val="24"/>
                <w:szCs w:val="24"/>
                <w:lang w:val="en-US" w:eastAsia="zh-CN"/>
              </w:rPr>
              <w:t>拖拉机</w:t>
            </w:r>
          </w:p>
        </w:tc>
        <w:tc>
          <w:tcPr>
            <w:tcW w:w="3115" w:type="dxa"/>
          </w:tcPr>
          <w:p>
            <w:pPr>
              <w:spacing w:line="500" w:lineRule="exact"/>
              <w:ind w:firstLine="480" w:firstLineChars="200"/>
              <w:rPr>
                <w:rFonts w:hint="default" w:ascii="仿宋_GB2312" w:hAnsi="Calibri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4"/>
                <w:lang w:val="en-US" w:eastAsia="zh-CN"/>
              </w:rPr>
              <w:t>马力不小于230马力，干式滤清器，四轮驱动，四组液压输出阀，全动力换挡：前进档位不少于16，后退档位不少于4，最大提升力不小于60千牛。</w:t>
            </w:r>
          </w:p>
        </w:tc>
        <w:tc>
          <w:tcPr>
            <w:tcW w:w="1438" w:type="dxa"/>
            <w:vAlign w:val="center"/>
          </w:tcPr>
          <w:p>
            <w:pPr>
              <w:widowControl/>
              <w:spacing w:line="500" w:lineRule="exact"/>
              <w:ind w:left="0" w:leftChars="0" w:firstLine="0" w:firstLineChars="0"/>
              <w:jc w:val="both"/>
              <w:rPr>
                <w:rFonts w:hint="default" w:ascii="仿宋_GB2312" w:hAnsi="Calibri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_GB2312" w:hAnsi="Calibri" w:eastAsia="仿宋_GB2312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40000</w:t>
            </w:r>
          </w:p>
        </w:tc>
        <w:tc>
          <w:tcPr>
            <w:tcW w:w="967" w:type="dxa"/>
            <w:vAlign w:val="center"/>
          </w:tcPr>
          <w:p>
            <w:pPr>
              <w:widowControl/>
              <w:spacing w:line="500" w:lineRule="exact"/>
              <w:ind w:left="0" w:leftChars="0" w:firstLine="0" w:firstLineChars="0"/>
              <w:jc w:val="both"/>
              <w:rPr>
                <w:rFonts w:hint="default" w:ascii="仿宋_GB2312" w:hAnsi="Calibri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56" w:type="dxa"/>
            <w:vAlign w:val="center"/>
          </w:tcPr>
          <w:p>
            <w:pPr>
              <w:widowControl/>
              <w:spacing w:line="500" w:lineRule="exact"/>
              <w:ind w:left="0" w:leftChars="0" w:firstLine="0" w:firstLineChars="0"/>
              <w:jc w:val="both"/>
              <w:rPr>
                <w:rFonts w:hint="default" w:ascii="仿宋_GB2312" w:hAnsi="Calibri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_GB2312" w:hAnsi="Calibri" w:eastAsia="仿宋_GB2312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40000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vAlign w:val="center"/>
          </w:tcPr>
          <w:p>
            <w:pPr>
              <w:widowControl/>
              <w:spacing w:line="500" w:lineRule="exact"/>
              <w:ind w:left="0" w:leftChars="0" w:firstLine="0" w:firstLineChars="0"/>
              <w:jc w:val="both"/>
              <w:rPr>
                <w:rFonts w:hint="eastAsia" w:ascii="仿宋_GB2312" w:hAnsi="Calibri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Calibri" w:eastAsia="仿宋_GB2312"/>
                <w:sz w:val="24"/>
                <w:szCs w:val="24"/>
                <w:lang w:val="en-US" w:eastAsia="zh-CN"/>
              </w:rPr>
              <w:t>大方捆打捆机</w:t>
            </w:r>
          </w:p>
        </w:tc>
        <w:tc>
          <w:tcPr>
            <w:tcW w:w="3115" w:type="dxa"/>
          </w:tcPr>
          <w:p>
            <w:pPr>
              <w:spacing w:line="500" w:lineRule="exact"/>
              <w:rPr>
                <w:rFonts w:hint="eastAsia" w:ascii="仿宋_GB2312" w:hAnsi="Calibri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4"/>
                <w:lang w:val="en-US" w:eastAsia="zh-CN"/>
              </w:rPr>
              <w:t>草捆截面宽度不小于1.2米，高度不小于0.9米，长度不小于2.6米，切刀数量不少于23把，打结器不少于6组，双桥，活塞行程数不少于46冲程每分钟。</w:t>
            </w:r>
          </w:p>
        </w:tc>
        <w:tc>
          <w:tcPr>
            <w:tcW w:w="1438" w:type="dxa"/>
            <w:vAlign w:val="center"/>
          </w:tcPr>
          <w:p>
            <w:pPr>
              <w:widowControl/>
              <w:spacing w:line="500" w:lineRule="exact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1380000</w:t>
            </w:r>
          </w:p>
        </w:tc>
        <w:tc>
          <w:tcPr>
            <w:tcW w:w="967" w:type="dxa"/>
            <w:vAlign w:val="center"/>
          </w:tcPr>
          <w:p>
            <w:pPr>
              <w:widowControl/>
              <w:spacing w:line="500" w:lineRule="exact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56" w:type="dxa"/>
            <w:vAlign w:val="center"/>
          </w:tcPr>
          <w:p>
            <w:pPr>
              <w:widowControl/>
              <w:spacing w:line="500" w:lineRule="exact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1380000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704" w:type="dxa"/>
          </w:tcPr>
          <w:p>
            <w:pPr>
              <w:widowControl/>
              <w:tabs>
                <w:tab w:val="left" w:pos="825"/>
              </w:tabs>
              <w:spacing w:line="50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Calibri" w:eastAsia="仿宋_GB2312"/>
                <w:sz w:val="24"/>
                <w:szCs w:val="24"/>
                <w:lang w:eastAsia="zh-CN"/>
              </w:rPr>
              <w:t>搂草机</w:t>
            </w:r>
          </w:p>
        </w:tc>
        <w:tc>
          <w:tcPr>
            <w:tcW w:w="3115" w:type="dxa"/>
          </w:tcPr>
          <w:p>
            <w:pPr>
              <w:widowControl/>
              <w:spacing w:line="500" w:lineRule="exact"/>
              <w:rPr>
                <w:rFonts w:hint="eastAsia" w:ascii="仿宋_GB2312" w:hAnsi="Calibri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z w:val="24"/>
                <w:szCs w:val="24"/>
                <w:lang w:val="en-US" w:eastAsia="zh-CN"/>
              </w:rPr>
              <w:t>12盘</w:t>
            </w:r>
          </w:p>
        </w:tc>
        <w:tc>
          <w:tcPr>
            <w:tcW w:w="1438" w:type="dxa"/>
            <w:vAlign w:val="top"/>
          </w:tcPr>
          <w:p>
            <w:pPr>
              <w:widowControl/>
              <w:spacing w:line="500" w:lineRule="exact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40000</w:t>
            </w:r>
          </w:p>
        </w:tc>
        <w:tc>
          <w:tcPr>
            <w:tcW w:w="967" w:type="dxa"/>
            <w:vAlign w:val="top"/>
          </w:tcPr>
          <w:p>
            <w:pPr>
              <w:widowControl/>
              <w:spacing w:line="500" w:lineRule="exact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56" w:type="dxa"/>
            <w:vAlign w:val="top"/>
          </w:tcPr>
          <w:p>
            <w:pPr>
              <w:widowControl/>
              <w:spacing w:line="500" w:lineRule="exact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40000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Calibri" w:eastAsia="仿宋_GB2312"/>
                <w:sz w:val="24"/>
                <w:szCs w:val="24"/>
                <w:lang w:eastAsia="zh-CN"/>
              </w:rPr>
              <w:t>抓草机</w:t>
            </w:r>
          </w:p>
        </w:tc>
        <w:tc>
          <w:tcPr>
            <w:tcW w:w="3115" w:type="dxa"/>
          </w:tcPr>
          <w:p>
            <w:pPr>
              <w:widowControl/>
              <w:spacing w:line="500" w:lineRule="exact"/>
              <w:rPr>
                <w:rFonts w:hint="eastAsia" w:ascii="仿宋_GB2312" w:hAnsi="Calibri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z w:val="24"/>
                <w:szCs w:val="24"/>
                <w:lang w:val="en-US" w:eastAsia="zh-CN"/>
              </w:rPr>
              <w:t>20型</w:t>
            </w:r>
          </w:p>
        </w:tc>
        <w:tc>
          <w:tcPr>
            <w:tcW w:w="1438" w:type="dxa"/>
            <w:vAlign w:val="top"/>
          </w:tcPr>
          <w:p>
            <w:pPr>
              <w:widowControl/>
              <w:spacing w:line="500" w:lineRule="exact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120000</w:t>
            </w:r>
          </w:p>
        </w:tc>
        <w:tc>
          <w:tcPr>
            <w:tcW w:w="967" w:type="dxa"/>
            <w:vAlign w:val="top"/>
          </w:tcPr>
          <w:p>
            <w:pPr>
              <w:widowControl/>
              <w:spacing w:line="500" w:lineRule="exact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56" w:type="dxa"/>
            <w:vAlign w:val="top"/>
          </w:tcPr>
          <w:p>
            <w:pPr>
              <w:widowControl/>
              <w:spacing w:line="500" w:lineRule="exact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120000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合</w:t>
            </w: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计</w:t>
            </w:r>
          </w:p>
        </w:tc>
        <w:tc>
          <w:tcPr>
            <w:tcW w:w="3115" w:type="dxa"/>
          </w:tcPr>
          <w:p>
            <w:pPr>
              <w:widowControl/>
              <w:spacing w:line="500" w:lineRule="exact"/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38" w:type="dxa"/>
            <w:vAlign w:val="top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67" w:type="dxa"/>
            <w:vAlign w:val="top"/>
          </w:tcPr>
          <w:p>
            <w:pPr>
              <w:widowControl/>
              <w:spacing w:line="500" w:lineRule="exact"/>
              <w:ind w:left="0" w:leftChars="0" w:firstLine="0" w:firstLineChars="0"/>
              <w:jc w:val="both"/>
              <w:rPr>
                <w:rFonts w:hint="default" w:ascii="仿宋_GB2312" w:hAnsi="Calibri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1656" w:type="dxa"/>
            <w:vAlign w:val="top"/>
          </w:tcPr>
          <w:p>
            <w:pPr>
              <w:widowControl/>
              <w:spacing w:line="500" w:lineRule="exact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2480000</w:t>
            </w:r>
          </w:p>
        </w:tc>
      </w:tr>
    </w:tbl>
    <w:p>
      <w:pPr>
        <w:spacing w:line="500" w:lineRule="exact"/>
        <w:ind w:firstLine="640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</w:t>
      </w:r>
      <w:r>
        <w:rPr>
          <w:rFonts w:hint="eastAsia" w:ascii="黑体" w:hAnsi="黑体" w:eastAsia="黑体" w:cs="黑体"/>
          <w:b/>
          <w:sz w:val="32"/>
          <w:szCs w:val="32"/>
        </w:rPr>
        <w:t>对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脱贫户</w:t>
      </w:r>
      <w:r>
        <w:rPr>
          <w:rFonts w:hint="eastAsia" w:ascii="黑体" w:hAnsi="黑体" w:eastAsia="黑体" w:cs="黑体"/>
          <w:b/>
          <w:sz w:val="32"/>
          <w:szCs w:val="32"/>
        </w:rPr>
        <w:t>的扶持情况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/>
        <w:textAlignment w:val="auto"/>
        <w:rPr>
          <w:rFonts w:hint="eastAsia" w:ascii="仿宋_GB2312" w:hAnsi="Calibri" w:eastAsia="仿宋_GB2312"/>
          <w:color w:val="000000"/>
          <w:sz w:val="32"/>
          <w:szCs w:val="32"/>
        </w:rPr>
      </w:pPr>
      <w:r>
        <w:rPr>
          <w:rFonts w:hint="eastAsia" w:ascii="仿宋_GB2312" w:hAnsi="Calibri" w:eastAsia="仿宋_GB2312"/>
          <w:color w:val="000000"/>
          <w:sz w:val="32"/>
          <w:szCs w:val="32"/>
        </w:rPr>
        <w:t>该项目带贫益贫机制主要坚持脱贫户优先参与项目建设，对项目实施环节劳务费按劳分配，项目由</w:t>
      </w:r>
      <w:r>
        <w:rPr>
          <w:rFonts w:hint="eastAsia" w:ascii="仿宋_GB2312" w:hAnsi="Calibri" w:eastAsia="仿宋_GB2312"/>
          <w:color w:val="000000"/>
          <w:sz w:val="32"/>
          <w:szCs w:val="32"/>
          <w:lang w:eastAsia="zh-CN"/>
        </w:rPr>
        <w:t>洞坡村、齐西二村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村民委员会管理事务，对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>313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户脱贫户扶持方式主要有脱贫户参与托管服务，吸纳贫困劳动力在管理经营中务工，按劳付给劳务费，同时减免脱贫户相应的托管费用，带动脱贫户科学种田提高效益等措施，提高脱贫户家庭收入，稳固脱贫成果。</w:t>
      </w:r>
    </w:p>
    <w:p>
      <w:pPr>
        <w:numPr>
          <w:ilvl w:val="0"/>
          <w:numId w:val="0"/>
        </w:numPr>
        <w:spacing w:line="500" w:lineRule="exact"/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管理制度及效益分配方案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该项目建设完成后，由村股份经济合作社经营，合作社成员以本社成立时认定的成员为准，管理制度依照合作社章程执行。</w:t>
      </w:r>
    </w:p>
    <w:p>
      <w:pPr>
        <w:spacing w:line="500" w:lineRule="exact"/>
        <w:ind w:firstLine="640" w:firstLineChars="200"/>
        <w:rPr>
          <w:rFonts w:ascii="仿宋_GB2312" w:hAnsi="仿宋" w:eastAsia="仿宋_GB2312" w:cs="仿宋"/>
          <w:bCs/>
          <w:color w:val="000000"/>
          <w:kern w:val="44"/>
          <w:sz w:val="32"/>
          <w:lang w:bidi="zh-TW"/>
        </w:rPr>
      </w:pPr>
      <w:r>
        <w:rPr>
          <w:rFonts w:hint="eastAsia" w:ascii="仿宋_GB2312" w:hAnsi="仿宋" w:eastAsia="仿宋_GB2312" w:cs="仿宋"/>
          <w:bCs/>
          <w:color w:val="000000"/>
          <w:kern w:val="44"/>
          <w:sz w:val="32"/>
          <w:lang w:bidi="zh-TW"/>
        </w:rPr>
        <w:t>收益分配</w:t>
      </w:r>
      <w:r>
        <w:rPr>
          <w:rFonts w:hint="eastAsia" w:ascii="仿宋_GB2312" w:hAnsi="仿宋" w:eastAsia="仿宋_GB2312" w:cs="仿宋"/>
          <w:bCs/>
          <w:color w:val="000000"/>
          <w:kern w:val="44"/>
          <w:sz w:val="32"/>
          <w:lang w:val="zh-TW" w:bidi="zh-TW"/>
        </w:rPr>
        <w:t>依据当年实际收益采取</w:t>
      </w:r>
      <w:r>
        <w:rPr>
          <w:rFonts w:hint="eastAsia" w:ascii="仿宋_GB2312" w:hAnsi="仿宋" w:eastAsia="仿宋_GB2312" w:cs="仿宋"/>
          <w:bCs/>
          <w:color w:val="000000"/>
          <w:kern w:val="44"/>
          <w:sz w:val="32"/>
          <w:lang w:val="zh-TW" w:eastAsia="zh-CN" w:bidi="zh-TW"/>
        </w:rPr>
        <w:t>浮动</w:t>
      </w:r>
      <w:r>
        <w:rPr>
          <w:rFonts w:hint="eastAsia" w:ascii="仿宋_GB2312" w:hAnsi="仿宋" w:eastAsia="仿宋_GB2312" w:cs="仿宋"/>
          <w:bCs/>
          <w:color w:val="000000"/>
          <w:kern w:val="44"/>
          <w:sz w:val="32"/>
          <w:lang w:val="zh-TW" w:bidi="zh-TW"/>
        </w:rPr>
        <w:t>分红模式，</w:t>
      </w:r>
      <w:r>
        <w:rPr>
          <w:rFonts w:hint="eastAsia" w:ascii="仿宋_GB2312" w:hAnsi="仿宋" w:eastAsia="仿宋_GB2312" w:cs="仿宋"/>
          <w:b w:val="0"/>
          <w:bCs w:val="0"/>
          <w:color w:val="000000"/>
          <w:kern w:val="44"/>
          <w:sz w:val="32"/>
          <w:lang w:val="zh-TW" w:bidi="zh-TW"/>
        </w:rPr>
        <w:t>保底分红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不低于项目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财政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投资的5%</w:t>
      </w:r>
      <w:r>
        <w:rPr>
          <w:rFonts w:hint="eastAsia" w:ascii="仿宋_GB2312" w:hAnsi="仿宋" w:eastAsia="仿宋_GB2312" w:cs="仿宋"/>
          <w:b w:val="0"/>
          <w:bCs w:val="0"/>
          <w:color w:val="000000"/>
          <w:kern w:val="44"/>
          <w:sz w:val="32"/>
          <w:lang w:val="zh-TW" w:bidi="zh-TW"/>
        </w:rPr>
        <w:t>，预计</w:t>
      </w:r>
      <w:r>
        <w:rPr>
          <w:rFonts w:hint="eastAsia" w:ascii="仿宋_GB2312" w:hAnsi="仿宋" w:eastAsia="仿宋_GB2312" w:cs="仿宋"/>
          <w:b w:val="0"/>
          <w:bCs w:val="0"/>
          <w:color w:val="000000"/>
          <w:kern w:val="44"/>
          <w:sz w:val="32"/>
          <w:lang w:val="zh-TW" w:eastAsia="zh-CN" w:bidi="zh-TW"/>
        </w:rPr>
        <w:t>年</w:t>
      </w:r>
      <w:r>
        <w:rPr>
          <w:rFonts w:hint="eastAsia" w:ascii="仿宋_GB2312" w:hAnsi="仿宋" w:eastAsia="仿宋_GB2312" w:cs="仿宋"/>
          <w:b w:val="0"/>
          <w:bCs w:val="0"/>
          <w:color w:val="000000"/>
          <w:kern w:val="44"/>
          <w:sz w:val="32"/>
          <w:lang w:val="zh-TW" w:bidi="zh-TW"/>
        </w:rPr>
        <w:t>保底分红不低于</w:t>
      </w:r>
      <w:r>
        <w:rPr>
          <w:rFonts w:hint="eastAsia" w:ascii="仿宋_GB2312" w:hAnsi="仿宋" w:eastAsia="仿宋_GB2312" w:cs="仿宋"/>
          <w:b w:val="0"/>
          <w:bCs w:val="0"/>
          <w:color w:val="000000"/>
          <w:kern w:val="44"/>
          <w:sz w:val="32"/>
          <w:lang w:val="en-US" w:eastAsia="zh-CN" w:bidi="zh-TW"/>
        </w:rPr>
        <w:t>10</w:t>
      </w:r>
      <w:r>
        <w:rPr>
          <w:rFonts w:hint="eastAsia" w:ascii="仿宋_GB2312" w:hAnsi="仿宋" w:eastAsia="仿宋_GB2312" w:cs="仿宋"/>
          <w:b w:val="0"/>
          <w:bCs w:val="0"/>
          <w:color w:val="000000"/>
          <w:kern w:val="44"/>
          <w:sz w:val="32"/>
          <w:lang w:val="zh-TW" w:bidi="zh-TW"/>
        </w:rPr>
        <w:t>万元，</w:t>
      </w:r>
      <w:r>
        <w:rPr>
          <w:rFonts w:hint="eastAsia" w:ascii="仿宋_GB2312" w:hAnsi="仿宋" w:eastAsia="仿宋_GB2312" w:cs="仿宋"/>
          <w:b w:val="0"/>
          <w:bCs w:val="0"/>
          <w:color w:val="000000"/>
          <w:kern w:val="44"/>
          <w:sz w:val="32"/>
          <w:lang w:val="zh-TW" w:eastAsia="zh-CN" w:bidi="zh-TW"/>
        </w:rPr>
        <w:t>洞坡村、齐西二村各</w:t>
      </w:r>
      <w:r>
        <w:rPr>
          <w:rFonts w:hint="eastAsia" w:ascii="仿宋_GB2312" w:hAnsi="仿宋" w:eastAsia="仿宋_GB2312" w:cs="仿宋"/>
          <w:b w:val="0"/>
          <w:bCs w:val="0"/>
          <w:color w:val="000000"/>
          <w:kern w:val="44"/>
          <w:sz w:val="32"/>
          <w:lang w:val="en-US" w:eastAsia="zh-CN" w:bidi="zh-TW"/>
        </w:rPr>
        <w:t>5万元。</w:t>
      </w:r>
      <w:r>
        <w:rPr>
          <w:rFonts w:hint="eastAsia" w:ascii="仿宋_GB2312" w:hAnsi="仿宋" w:eastAsia="仿宋_GB2312" w:cs="仿宋"/>
          <w:bCs/>
          <w:color w:val="000000"/>
          <w:kern w:val="44"/>
          <w:sz w:val="32"/>
          <w:lang w:bidi="zh-TW"/>
        </w:rPr>
        <w:t>项目所得收益70%作为村级扶贫基金，用于两个村的产业扶持、扶贫救助等，30%用于项目管护及项目新的投资建设及发展使用。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项目资产确权：项目建设完成后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新建的资产确认到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洞坡村、齐西二村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股份经济合作社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名下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500" w:lineRule="exact"/>
        <w:ind w:left="0" w:leftChars="0" w:firstLine="643" w:firstLineChars="200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招标方式的确定</w:t>
      </w:r>
    </w:p>
    <w:p>
      <w:pPr>
        <w:numPr>
          <w:ilvl w:val="0"/>
          <w:numId w:val="0"/>
        </w:numPr>
        <w:spacing w:line="5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  <w:lang w:eastAsia="zh-CN"/>
        </w:rPr>
        <w:t>慕仪镇洞坡村农机综合服务项目</w:t>
      </w:r>
      <w:r>
        <w:rPr>
          <w:rFonts w:hint="eastAsia" w:ascii="仿宋_GB2312" w:hAnsi="仿宋" w:eastAsia="仿宋_GB2312" w:cs="宋体"/>
          <w:sz w:val="32"/>
          <w:szCs w:val="32"/>
        </w:rPr>
        <w:t>服务项目，总投资</w:t>
      </w:r>
      <w:r>
        <w:rPr>
          <w:rFonts w:hint="default" w:ascii="仿宋_GB2312" w:hAnsi="仿宋" w:eastAsia="仿宋_GB2312" w:cs="宋体"/>
          <w:sz w:val="32"/>
          <w:szCs w:val="32"/>
          <w:lang w:val="en-US"/>
        </w:rPr>
        <w:t>2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48</w:t>
      </w:r>
      <w:r>
        <w:rPr>
          <w:rFonts w:hint="eastAsia" w:ascii="仿宋_GB2312" w:hAnsi="仿宋" w:eastAsia="仿宋_GB2312" w:cs="宋体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</w:rPr>
        <w:t>经镇政府研究决定采用招标方式为</w:t>
      </w:r>
      <w:r>
        <w:rPr>
          <w:rFonts w:hint="eastAsia" w:ascii="仿宋_GB2312" w:hAnsi="仿宋" w:eastAsia="仿宋_GB2312"/>
          <w:b/>
          <w:sz w:val="32"/>
          <w:szCs w:val="32"/>
        </w:rPr>
        <w:t>公开招标</w:t>
      </w:r>
      <w:r>
        <w:rPr>
          <w:rFonts w:hint="eastAsia" w:ascii="仿宋_GB2312" w:hAnsi="仿宋" w:eastAsia="仿宋_GB2312"/>
          <w:sz w:val="32"/>
          <w:szCs w:val="32"/>
        </w:rPr>
        <w:t>。招标采用的范本为建设部颁发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的最新版《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标准设备采购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招标文件》为范本，招标结束后中标单位与镇政府签订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采购合同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、廉政合同，项目招标不设不可预见费，设最高限价，最高限价经镇政府会议研究后公布，但不高于专</w:t>
      </w:r>
      <w:r>
        <w:rPr>
          <w:rFonts w:hint="eastAsia" w:ascii="仿宋_GB2312" w:hAnsi="仿宋" w:eastAsia="仿宋_GB2312"/>
          <w:sz w:val="32"/>
          <w:szCs w:val="32"/>
        </w:rPr>
        <w:t>项投入资金。</w:t>
      </w:r>
    </w:p>
    <w:p>
      <w:pPr>
        <w:spacing w:line="500" w:lineRule="exact"/>
        <w:ind w:left="0" w:leftChars="0" w:firstLine="643" w:firstLineChars="200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五、工期安排</w:t>
      </w:r>
    </w:p>
    <w:p>
      <w:pPr>
        <w:spacing w:line="500" w:lineRule="exact"/>
        <w:ind w:left="0" w:leftChars="0" w:firstLine="640" w:firstLineChars="200"/>
        <w:rPr>
          <w:rFonts w:hint="eastAsia"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1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202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月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日-202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月5日完成项目招标。</w:t>
      </w:r>
    </w:p>
    <w:p>
      <w:pPr>
        <w:spacing w:line="500" w:lineRule="exact"/>
        <w:ind w:left="0" w:leftChars="0" w:firstLine="640" w:firstLineChars="200"/>
        <w:rPr>
          <w:rFonts w:hint="eastAsia"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202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月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日-202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月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日完成项目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采购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。</w:t>
      </w:r>
    </w:p>
    <w:p>
      <w:pPr>
        <w:spacing w:line="500" w:lineRule="exact"/>
        <w:ind w:left="0" w:leftChars="0"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202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月底前，完成项目后续结算并完成项目审计工作，开展自查验收，申请区级验收，完善档案，镇政府负责绩效评估资料上报。</w:t>
      </w:r>
    </w:p>
    <w:p>
      <w:pPr>
        <w:spacing w:line="500" w:lineRule="exact"/>
        <w:ind w:left="0" w:leftChars="0" w:firstLine="643" w:firstLineChars="200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六、项目实施要求：</w:t>
      </w:r>
    </w:p>
    <w:p>
      <w:pPr>
        <w:numPr>
          <w:ilvl w:val="0"/>
          <w:numId w:val="0"/>
        </w:numPr>
        <w:spacing w:line="500" w:lineRule="exact"/>
        <w:ind w:firstLine="640" w:firstLineChars="200"/>
        <w:rPr>
          <w:rFonts w:hint="eastAsia"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1.夯实责任，加强项目实施管理。项目镇街要切实落实项目实施主体责任，按照省市区财政衔接资金项目管理办法及实施要求，严格落实项目库管理、招投标、公示公告等制度，规范项目事前研究、施工监理、资料整理、验收审计等过程管理。</w:t>
      </w:r>
    </w:p>
    <w:p>
      <w:pPr>
        <w:numPr>
          <w:ilvl w:val="0"/>
          <w:numId w:val="0"/>
        </w:numPr>
        <w:spacing w:line="500" w:lineRule="exact"/>
        <w:ind w:firstLine="640" w:firstLineChars="200"/>
        <w:rPr>
          <w:rFonts w:hint="eastAsia"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2.规范管理，管好用好项目资金。按照区财政局、区乡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numPr>
          <w:ilvl w:val="0"/>
          <w:numId w:val="0"/>
        </w:numPr>
        <w:spacing w:line="500" w:lineRule="exact"/>
        <w:ind w:firstLine="640" w:firstLineChars="200"/>
        <w:rPr>
          <w:rFonts w:hint="eastAsia"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3.加强协调，确保按期完成项目建设任务。项目镇街要加强实施组织协调，充分调动设计、施工、监理及项目村积极性，为项目落实施工提供有力保障，确保202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宋体"/>
          <w:sz w:val="32"/>
          <w:szCs w:val="32"/>
        </w:rPr>
        <w:t>年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 w:cs="宋体"/>
          <w:sz w:val="32"/>
          <w:szCs w:val="32"/>
        </w:rPr>
        <w:t>月底前完成项目建设任务、资金兑付和报账工作，接受上级检查验收。同时，提早动手做好项目资产确权移交和后期运维管理等工作。</w:t>
      </w:r>
    </w:p>
    <w:p>
      <w:pPr>
        <w:numPr>
          <w:ilvl w:val="0"/>
          <w:numId w:val="0"/>
        </w:numPr>
        <w:spacing w:line="500" w:lineRule="exact"/>
        <w:ind w:firstLine="640" w:firstLineChars="200"/>
        <w:rPr>
          <w:rFonts w:hint="eastAsia"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 xml:space="preserve">                   </w:t>
      </w:r>
    </w:p>
    <w:p>
      <w:pPr>
        <w:numPr>
          <w:ilvl w:val="0"/>
          <w:numId w:val="0"/>
        </w:numPr>
        <w:spacing w:line="500" w:lineRule="exact"/>
        <w:ind w:firstLine="640" w:firstLineChars="200"/>
        <w:rPr>
          <w:rFonts w:hint="eastAsia"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 xml:space="preserve">        </w:t>
      </w:r>
    </w:p>
    <w:p>
      <w:pPr>
        <w:snapToGrid w:val="0"/>
        <w:spacing w:line="520" w:lineRule="exact"/>
        <w:ind w:left="0" w:leftChars="0" w:firstLine="3520" w:firstLineChars="11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宝鸡市陈仓区农业农村局</w:t>
      </w:r>
    </w:p>
    <w:p>
      <w:pPr>
        <w:snapToGrid w:val="0"/>
        <w:spacing w:line="520" w:lineRule="exact"/>
        <w:ind w:firstLine="4160" w:firstLineChars="1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snapToGrid w:val="0"/>
        <w:spacing w:line="240" w:lineRule="atLeast"/>
        <w:ind w:firstLine="0" w:firstLineChars="0"/>
        <w:rPr>
          <w:rFonts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ascii="仿宋" w:hAnsi="仿宋" w:eastAsia="仿宋" w:cs="仿宋"/>
          <w:sz w:val="32"/>
          <w:szCs w:val="32"/>
        </w:rPr>
      </w:pPr>
      <w:r>
        <w:pict>
          <v:line id="_x0000_s1026" o:spid="_x0000_s1026" o:spt="20" style="position:absolute;left:0pt;margin-left:-9pt;margin-top:14.75pt;height:0pt;width:441pt;z-index:251660288;mso-width-relative:page;mso-height-relative:page;" coordsize="21600,21600" o:gfxdata="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cRLHXtYAAAAJAQAADwAAAAAAAAABACAAAAAiAAAAZHJzL2Rvd25yZXYueG1s&#10;UEsBAhQAFAAAAAgAh07iQK8182T6AQAA8gMAAA4AAAAAAAAAAQAgAAAAJQEAAGRycy9lMm9Eb2Mu&#10;eG1sUEsFBgAAAAAGAAYAWQEAAJEFAAAAAA==&#10;">
            <v:path arrowok="t"/>
            <v:fill focussize="0,0"/>
            <v:stroke/>
            <v:imagedata o:title=""/>
            <o:lock v:ext="edit"/>
          </v:line>
        </w:pict>
      </w:r>
    </w:p>
    <w:p>
      <w:pPr>
        <w:spacing w:line="400" w:lineRule="exact"/>
        <w:ind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</w:pPr>
      <w:r>
        <w:pict>
          <v:line id="_x0000_s1028" o:spid="_x0000_s1028" o:spt="20" style="position:absolute;left:0pt;flip:y;margin-left:-9.85pt;margin-top:24.65pt;height:0.85pt;width:446.7pt;z-index:251661312;mso-width-relative:page;mso-height-relative:page;" coordsize="21600,21600" o:gfxdata="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OmEy2tgAAAAJAQAADwAAAAAAAAABACAAAAAiAAAAZHJz&#10;L2Rvd25yZXYueG1sUEsBAhQAFAAAAAgAh07iQIuhGS8EAgAAAAQAAA4AAAAAAAAAAQAgAAAAJwEA&#10;AGRycy9lMm9Eb2MueG1sUEsFBgAAAAAGAAYAWQEAAJ0FAAAAAA==&#10;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027" o:spid="_x0000_s1027" o:spt="20" style="position:absolute;left:0pt;margin-left:-8.65pt;margin-top:0.65pt;height:0pt;width:442.5pt;z-index:251659264;mso-width-relative:page;mso-height-relative:page;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" w:hAnsi="仿宋" w:eastAsia="仿宋" w:cs="仿宋"/>
          <w:sz w:val="28"/>
          <w:szCs w:val="28"/>
        </w:rPr>
        <w:t xml:space="preserve">宝鸡市陈仓区农业农村局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日印</w:t>
      </w:r>
      <w:r>
        <w:rPr>
          <w:rFonts w:hint="eastAsia" w:ascii="仿宋" w:hAnsi="仿宋" w:eastAsia="仿宋" w:cs="仿宋"/>
          <w:sz w:val="30"/>
          <w:szCs w:val="30"/>
        </w:rPr>
        <w:t>发</w:t>
      </w:r>
      <w:r>
        <w:rPr>
          <w:rFonts w:ascii="??_GB2312" w:eastAsia="Times New Roman"/>
          <w:sz w:val="30"/>
          <w:szCs w:val="30"/>
        </w:rPr>
        <w:t xml:space="preserve"> </w:t>
      </w:r>
      <w:r>
        <w:rPr>
          <w:rFonts w:ascii="??_GB2312" w:eastAsia="Times New Roman"/>
          <w:sz w:val="32"/>
        </w:rPr>
        <w:t xml:space="preserve"> 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4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2A59AF"/>
    <w:multiLevelType w:val="singleLevel"/>
    <w:tmpl w:val="D52A59A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5DBB811"/>
    <w:multiLevelType w:val="singleLevel"/>
    <w:tmpl w:val="35DBB81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0F0A"/>
    <w:rsid w:val="001327F7"/>
    <w:rsid w:val="00182059"/>
    <w:rsid w:val="00201E4F"/>
    <w:rsid w:val="002F31AF"/>
    <w:rsid w:val="00384FDE"/>
    <w:rsid w:val="003C6DFA"/>
    <w:rsid w:val="0050382B"/>
    <w:rsid w:val="005D7AFC"/>
    <w:rsid w:val="007853BB"/>
    <w:rsid w:val="008A7958"/>
    <w:rsid w:val="00990F0A"/>
    <w:rsid w:val="009C798B"/>
    <w:rsid w:val="00B10153"/>
    <w:rsid w:val="00C50D2B"/>
    <w:rsid w:val="00E60497"/>
    <w:rsid w:val="00ED0896"/>
    <w:rsid w:val="00F80479"/>
    <w:rsid w:val="013C1960"/>
    <w:rsid w:val="015964E2"/>
    <w:rsid w:val="016A71AA"/>
    <w:rsid w:val="01B7106F"/>
    <w:rsid w:val="01BB0B78"/>
    <w:rsid w:val="025020A0"/>
    <w:rsid w:val="029E6726"/>
    <w:rsid w:val="02AA05F1"/>
    <w:rsid w:val="0333345C"/>
    <w:rsid w:val="041939F1"/>
    <w:rsid w:val="04BA2E5A"/>
    <w:rsid w:val="04BF1E96"/>
    <w:rsid w:val="04CB3A86"/>
    <w:rsid w:val="04EC36D4"/>
    <w:rsid w:val="05466DC0"/>
    <w:rsid w:val="056412FD"/>
    <w:rsid w:val="05B9667F"/>
    <w:rsid w:val="072C3F89"/>
    <w:rsid w:val="088C338F"/>
    <w:rsid w:val="089C056F"/>
    <w:rsid w:val="09560185"/>
    <w:rsid w:val="0A4D5D41"/>
    <w:rsid w:val="0B427524"/>
    <w:rsid w:val="0BBD5BA0"/>
    <w:rsid w:val="0BD22140"/>
    <w:rsid w:val="0D9151F5"/>
    <w:rsid w:val="0E717B67"/>
    <w:rsid w:val="0F0A795A"/>
    <w:rsid w:val="0F9E71A9"/>
    <w:rsid w:val="12E85031"/>
    <w:rsid w:val="166E65CB"/>
    <w:rsid w:val="16C775D8"/>
    <w:rsid w:val="1828475E"/>
    <w:rsid w:val="18620509"/>
    <w:rsid w:val="19730CD4"/>
    <w:rsid w:val="19815045"/>
    <w:rsid w:val="1AA21AC2"/>
    <w:rsid w:val="1ACD68AD"/>
    <w:rsid w:val="1B5217DB"/>
    <w:rsid w:val="1D30319E"/>
    <w:rsid w:val="1E3E4CA4"/>
    <w:rsid w:val="1F0C0750"/>
    <w:rsid w:val="1F2145E9"/>
    <w:rsid w:val="1F307B53"/>
    <w:rsid w:val="1FB51BA8"/>
    <w:rsid w:val="20406AE2"/>
    <w:rsid w:val="208E5716"/>
    <w:rsid w:val="20B935BA"/>
    <w:rsid w:val="20E47DFA"/>
    <w:rsid w:val="211C634F"/>
    <w:rsid w:val="212E3875"/>
    <w:rsid w:val="21E40702"/>
    <w:rsid w:val="240F5891"/>
    <w:rsid w:val="24543D5B"/>
    <w:rsid w:val="249F6004"/>
    <w:rsid w:val="24DE4884"/>
    <w:rsid w:val="27827809"/>
    <w:rsid w:val="27852C13"/>
    <w:rsid w:val="2A8B5F4F"/>
    <w:rsid w:val="2D7F6D09"/>
    <w:rsid w:val="2D864A37"/>
    <w:rsid w:val="2DB75384"/>
    <w:rsid w:val="2F920BC1"/>
    <w:rsid w:val="3002590A"/>
    <w:rsid w:val="31487804"/>
    <w:rsid w:val="31A2351D"/>
    <w:rsid w:val="32837FE3"/>
    <w:rsid w:val="32CC03D3"/>
    <w:rsid w:val="334D63D9"/>
    <w:rsid w:val="338318B1"/>
    <w:rsid w:val="338E64E6"/>
    <w:rsid w:val="34762254"/>
    <w:rsid w:val="36FE3E72"/>
    <w:rsid w:val="37773AD4"/>
    <w:rsid w:val="38B67E28"/>
    <w:rsid w:val="39543BF7"/>
    <w:rsid w:val="398B4DB2"/>
    <w:rsid w:val="3A984D80"/>
    <w:rsid w:val="3ABC2193"/>
    <w:rsid w:val="3AE01E97"/>
    <w:rsid w:val="3B3E4154"/>
    <w:rsid w:val="3BED577A"/>
    <w:rsid w:val="3D031AB2"/>
    <w:rsid w:val="3E7A03FD"/>
    <w:rsid w:val="3EC34B32"/>
    <w:rsid w:val="3F8101D4"/>
    <w:rsid w:val="3F9543CD"/>
    <w:rsid w:val="3FFF6DF7"/>
    <w:rsid w:val="40AE2759"/>
    <w:rsid w:val="414F6686"/>
    <w:rsid w:val="41711E74"/>
    <w:rsid w:val="420431F9"/>
    <w:rsid w:val="42221D07"/>
    <w:rsid w:val="43032E72"/>
    <w:rsid w:val="449A48D6"/>
    <w:rsid w:val="45B02A52"/>
    <w:rsid w:val="45B776BA"/>
    <w:rsid w:val="474811FD"/>
    <w:rsid w:val="489F1C54"/>
    <w:rsid w:val="493F7A51"/>
    <w:rsid w:val="4CF60FAF"/>
    <w:rsid w:val="4CFA148B"/>
    <w:rsid w:val="4D471097"/>
    <w:rsid w:val="4D4F4BC7"/>
    <w:rsid w:val="4E497EF3"/>
    <w:rsid w:val="4FAB13F1"/>
    <w:rsid w:val="5133690F"/>
    <w:rsid w:val="51422288"/>
    <w:rsid w:val="52082081"/>
    <w:rsid w:val="52106216"/>
    <w:rsid w:val="52376399"/>
    <w:rsid w:val="5304527E"/>
    <w:rsid w:val="5523404F"/>
    <w:rsid w:val="564D330D"/>
    <w:rsid w:val="566A6423"/>
    <w:rsid w:val="582710FC"/>
    <w:rsid w:val="5A3F42CA"/>
    <w:rsid w:val="5A98175F"/>
    <w:rsid w:val="5AB5170A"/>
    <w:rsid w:val="5BCA4C2E"/>
    <w:rsid w:val="5C8318B4"/>
    <w:rsid w:val="5CAD7D03"/>
    <w:rsid w:val="5DD96821"/>
    <w:rsid w:val="5DDE09B4"/>
    <w:rsid w:val="61096C1C"/>
    <w:rsid w:val="61784244"/>
    <w:rsid w:val="62226B6A"/>
    <w:rsid w:val="642632E3"/>
    <w:rsid w:val="642B0E2C"/>
    <w:rsid w:val="64FE654E"/>
    <w:rsid w:val="659D515B"/>
    <w:rsid w:val="664868AE"/>
    <w:rsid w:val="667C054B"/>
    <w:rsid w:val="66F57B61"/>
    <w:rsid w:val="69031739"/>
    <w:rsid w:val="69615E07"/>
    <w:rsid w:val="697932C0"/>
    <w:rsid w:val="6A9770FC"/>
    <w:rsid w:val="6B0D09C4"/>
    <w:rsid w:val="6B1A10E9"/>
    <w:rsid w:val="6B420C5E"/>
    <w:rsid w:val="6B966854"/>
    <w:rsid w:val="6BB46DCF"/>
    <w:rsid w:val="6C37445E"/>
    <w:rsid w:val="6D3166AC"/>
    <w:rsid w:val="6DF908E0"/>
    <w:rsid w:val="6E945EF0"/>
    <w:rsid w:val="6EE17098"/>
    <w:rsid w:val="6FDA11AC"/>
    <w:rsid w:val="73AA3A48"/>
    <w:rsid w:val="74D97A75"/>
    <w:rsid w:val="762E49EE"/>
    <w:rsid w:val="76682BC7"/>
    <w:rsid w:val="76C2531B"/>
    <w:rsid w:val="78771DBC"/>
    <w:rsid w:val="79BA420C"/>
    <w:rsid w:val="7A2C01C1"/>
    <w:rsid w:val="7A703437"/>
    <w:rsid w:val="7AA04DB2"/>
    <w:rsid w:val="7CBB698C"/>
    <w:rsid w:val="7D0E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unhideWhenUsed/>
    <w:qFormat/>
    <w:uiPriority w:val="99"/>
    <w:pPr>
      <w:ind w:firstLine="420"/>
    </w:pPr>
  </w:style>
  <w:style w:type="character" w:customStyle="1" w:styleId="9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1618</Words>
  <Characters>1749</Characters>
  <Lines>11</Lines>
  <Paragraphs>3</Paragraphs>
  <TotalTime>2</TotalTime>
  <ScaleCrop>false</ScaleCrop>
  <LinksUpToDate>false</LinksUpToDate>
  <CharactersWithSpaces>1800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天高云淡</cp:lastModifiedBy>
  <cp:lastPrinted>2022-04-08T07:35:00Z</cp:lastPrinted>
  <dcterms:modified xsi:type="dcterms:W3CDTF">2022-04-11T01:23:15Z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FCB05AD44D384154892198C841974FB6</vt:lpwstr>
  </property>
</Properties>
</file>